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5º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Estrutura atômica e Tabela Periódica. Ligação química. Íons, moléculas e Funções inorgânicas. Cálculo Estequiométrico e Reações químicas.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Química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Q01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Matemática básica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Ensinar conceitos de química que podem ter aplicações no estudo da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Servir como disciplina de formação complementar 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Estrutura atômica e Tabela Periódica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Estrutura atômica: modelo atômico de Dalton, Bohr e atual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Tabela Periódica: histórico; organização da tabela periódica; propriedades periódicas; relação massa atômica e molecular</w:t>
                  </w:r>
                </w:p>
              </w:tc>
            </w:tr>
          </w:tbl>
          <w:p w:rsidR="00000000" w:rsidDel="00000000" w:rsidP="00000000" w:rsidRDefault="00000000" w:rsidRPr="00000000" w14:paraId="000001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Ligação química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Ligação iônica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Ligação covalente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Ligação metálica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Forças intermoleculares</w:t>
                  </w:r>
                </w:p>
              </w:tc>
            </w:tr>
          </w:tbl>
          <w:p w:rsidR="00000000" w:rsidDel="00000000" w:rsidP="00000000" w:rsidRDefault="00000000" w:rsidRPr="00000000" w14:paraId="000001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Íons, moléculas e funções inorgânicas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Íons e moléculas: estrutura eletrônica; nomenclatura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inorgânicas: ácidos; bases; sais, óxidos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Nomenclatura dos compostos inorgânicos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Composição química do ar atmosférico</w:t>
                  </w:r>
                </w:p>
              </w:tc>
            </w:tr>
          </w:tbl>
          <w:p w:rsidR="00000000" w:rsidDel="00000000" w:rsidP="00000000" w:rsidRDefault="00000000" w:rsidRPr="00000000" w14:paraId="000002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Cálculo Estequiométrico e Reações químicas.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Estequiometria: conceitos e propriedades básicas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Constante de Avogadro e conceito de Mol. Aplicações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Tipos de fórmulas químicas (mínima, molecular, percentual)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Equilíbrio de equação química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Leis Ponderais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Gases indutores do efeito estufa e do aquecimento global</w:t>
                  </w:r>
                </w:p>
              </w:tc>
            </w:tr>
          </w:tbl>
          <w:p w:rsidR="00000000" w:rsidDel="00000000" w:rsidP="00000000" w:rsidRDefault="00000000" w:rsidRPr="00000000" w14:paraId="000002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F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BRADY, J. E. &amp; HUMISTON, G. 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MAHAN, B. M. &amp; Myers, R.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Química, um Curso Universitário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Blucher, 2005.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FELTRE,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Química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Único. São Paulo: Editora Moderna, 2001.</w:t>
                  </w:r>
                </w:p>
              </w:tc>
            </w:tr>
          </w:tbl>
          <w:p w:rsidR="00000000" w:rsidDel="00000000" w:rsidP="00000000" w:rsidRDefault="00000000" w:rsidRPr="00000000" w14:paraId="000002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4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COMPANION, A.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Ligação Química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Tradução: Luiz Carlos Guimarães. 1. ed. São Paulo: Edgard Blucher, 1970.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RUSSEL, J. B.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MC Graw-Hill do Brasil. 1981.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STABAUCH, W .H.; PARSON, T.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 ,1982.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TRINDADE.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 Básica Teórica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Icone Espaço Cultural.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ATKINS, P. &amp; JONES,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Química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: Questionando a Vida Moderna e o Meio Ambiente. Porto Alegre: Bookman, 2003.</w:t>
                  </w:r>
                </w:p>
              </w:tc>
            </w:tr>
          </w:tbl>
          <w:p w:rsidR="00000000" w:rsidDel="00000000" w:rsidP="00000000" w:rsidRDefault="00000000" w:rsidRPr="00000000" w14:paraId="000002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RUSSEL, John B.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Química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MC Graw-Hill do Brasil. 1981.</w:t>
                  </w:r>
                </w:p>
              </w:tc>
            </w:tr>
          </w:tbl>
          <w:p w:rsidR="00000000" w:rsidDel="00000000" w:rsidP="00000000" w:rsidRDefault="00000000" w:rsidRPr="00000000" w14:paraId="00000264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31" name="Shape 31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32" name="Shape 32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9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Equilíbrio térmico e grandezas termodinâmicas. Calor e Primeira Lei da Termodinâmica. Entropia e Segunda Lei da Termodinâmica. Terceira Lei da termodinâmica.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Termodinâmica 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F06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diferencial e integral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C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Fluídos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Fundamentar os conceitos termodinâmicos estudados no Ensino Médio através de formalismos e aplicações evidenciando o caráter generalista da Termodinâmica.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das Leis da Termodinâmica e suas aplicações propiciam ao acadêmico uma visão ampla da física envolvida nos fenômenos térmicos contribuindo assim para a sua formação conceitual e crítica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390.0" w:type="dxa"/>
              <w:jc w:val="left"/>
              <w:tblLayout w:type="fixed"/>
              <w:tblLook w:val="0000"/>
            </w:tblPr>
            <w:tblGrid>
              <w:gridCol w:w="5116"/>
              <w:gridCol w:w="5234"/>
              <w:gridCol w:w="40"/>
              <w:tblGridChange w:id="0">
                <w:tblGrid>
                  <w:gridCol w:w="5116"/>
                  <w:gridCol w:w="5234"/>
                  <w:gridCol w:w="40"/>
                </w:tblGrid>
              </w:tblGridChange>
            </w:tblGrid>
            <w:tr>
              <w:tc>
                <w:tcPr>
                  <w:gridSpan w:val="2"/>
                  <w:tcBorders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3F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deeaf6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3FF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CONTEÚDOS PROGRAMÁTICOS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40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4930.0" w:type="dxa"/>
                    <w:jc w:val="left"/>
                    <w:tblLayout w:type="fixed"/>
                    <w:tblLook w:val="0000"/>
                  </w:tblPr>
                  <w:tblGrid>
                    <w:gridCol w:w="511"/>
                    <w:gridCol w:w="4419"/>
                    <w:tblGridChange w:id="0">
                      <w:tblGrid>
                        <w:gridCol w:w="511"/>
                        <w:gridCol w:w="4419"/>
                      </w:tblGrid>
                    </w:tblGridChange>
                  </w:tblGrid>
                  <w:tr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403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UNIDADE I – Equilíbrio térmico e grandezas termodinâmicas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5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1.1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6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Conceitos de Temperatura e de calor. Equilíbrio térmico e temperatura. Escala de temperatura absoluta. Lei Zero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7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1.2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8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Expansão térmica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9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1.3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A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Revisão da Teoria Cinética dos Gases. Visão microscópica da temperatura e pressão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40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4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4982.0" w:type="dxa"/>
                    <w:jc w:val="left"/>
                    <w:tblLayout w:type="fixed"/>
                    <w:tblLook w:val="0000"/>
                  </w:tblPr>
                  <w:tblGrid>
                    <w:gridCol w:w="511"/>
                    <w:gridCol w:w="4471"/>
                    <w:tblGridChange w:id="0">
                      <w:tblGrid>
                        <w:gridCol w:w="511"/>
                        <w:gridCol w:w="4471"/>
                      </w:tblGrid>
                    </w:tblGridChange>
                  </w:tblGrid>
                  <w:tr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40D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UNIDADE II – Calor e Primeira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0F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0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Conceito de calor. Calor específico e calor latente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1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2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A experiência de Joule. A equação fundamental da calorimetria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3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4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Formas de transmissão do calor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5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6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Mudanças de fase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7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8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Energia interna e trabalho mecânico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9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A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A Primeira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B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C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Processos reversíveis e irreversíveis. Alguns tipos de processos termodinâmicos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D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E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Capacidades de sólidos e dos gases. Fracasso do Teorema da Equipartição da Energia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1F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2.9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0">
                        <w:pPr>
                          <w:jc w:val="both"/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O efeito estufa atmosférico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4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4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5"/>
                    <w:tblW w:w="4930.0" w:type="dxa"/>
                    <w:jc w:val="left"/>
                    <w:tblLayout w:type="fixed"/>
                    <w:tblLook w:val="0000"/>
                  </w:tblPr>
                  <w:tblGrid>
                    <w:gridCol w:w="511"/>
                    <w:gridCol w:w="4419"/>
                    <w:tblGridChange w:id="0">
                      <w:tblGrid>
                        <w:gridCol w:w="511"/>
                        <w:gridCol w:w="4419"/>
                      </w:tblGrid>
                    </w:tblGridChange>
                  </w:tblGrid>
                  <w:tr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424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UNIDADE III – Entropia e Segunda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6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7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Formulações da 2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u w:val="single"/>
                            <w:vertAlign w:val="superscript"/>
                            <w:rtl w:val="0"/>
                          </w:rPr>
                          <w:t xml:space="preserve">a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8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9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Máquinas térmicas e refrigeradores e relação com a 2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u w:val="single"/>
                            <w:vertAlign w:val="superscript"/>
                            <w:rtl w:val="0"/>
                          </w:rPr>
                          <w:t xml:space="preserve">a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A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B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As principais fontes de energia utilizadas nas máquinas térmicas e a sua relação com a produção de gases do efeito estufa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C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D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Ciclo de Carnot e Rendimento. A máquina de Carnot. Eficiência de máquinas térmicas reais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E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2F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Conceito de reversibilidade e irreversibilidade. Desordem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0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1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Conceito de Entropia. Entropia do gás ideal. Entropia e a Segunda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2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3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Interpretação probabilística da Entropia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4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3.8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5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A entropia e o desperdício dos recursos energéticos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4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4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6"/>
                    <w:tblW w:w="4982.0" w:type="dxa"/>
                    <w:jc w:val="left"/>
                    <w:tblLayout w:type="fixed"/>
                    <w:tblLook w:val="0000"/>
                  </w:tblPr>
                  <w:tblGrid>
                    <w:gridCol w:w="511"/>
                    <w:gridCol w:w="4471"/>
                    <w:tblGridChange w:id="0">
                      <w:tblGrid>
                        <w:gridCol w:w="511"/>
                        <w:gridCol w:w="4471"/>
                      </w:tblGrid>
                    </w:tblGridChange>
                  </w:tblGrid>
                  <w:tr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438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UNIDADE IV – Terceira Lei da Termodinâmica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A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4.1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43B">
                        <w:pPr>
                          <w:rPr>
                            <w:rFonts w:ascii="Verdana" w:cs="Verdana" w:eastAsia="Verdana" w:hAnsi="Verdana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sz w:val="18"/>
                            <w:szCs w:val="18"/>
                            <w:rtl w:val="0"/>
                          </w:rPr>
                          <w:t xml:space="preserve">Enunciado da Terceira Lei da Termodinâmica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4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II: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&amp; Zemansky, Vol. 2, São Paulo: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2 - Gravitação,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2 – Fluidos, Oscilações e Ondas, Calor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2,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4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7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7B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Carga elétrica e campo elétrico. Lei de Gauss. Potencial Elétrico. Capacitância e Energia elétrica. Dielétricos. Corrente e resistência elétrica. Força eletromotriz. Circuitos de corrente contínua e Leis de Kirchoff. Energia elétrica no cotidiano.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Eletricidade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F07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8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de várias variáveis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8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Fundamentar e consolidar os conceitos de Eletricidade estudados no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2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quantitativo dos fenômenos elétricos propicia ao acadêmico uma visão ampla da física contribuindo assim para a sua formação conceitual, teórica e matemática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1"/>
            <w:tcBorders>
              <w:top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Carga elétrica e campo elétrico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Carga elétrica. Estrutura atômica. Quantização da carga elétrica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Condutores. Isolantes e Carga induzidas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 de Coulomb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 elétrico e força elétrica. Linhas de força. Dipolo elétrico</w:t>
                  </w:r>
                </w:p>
              </w:tc>
            </w:tr>
          </w:tbl>
          <w:p w:rsidR="00000000" w:rsidDel="00000000" w:rsidP="00000000" w:rsidRDefault="00000000" w:rsidRPr="00000000" w14:paraId="000006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Lei de Gauss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Fluxo elétrico: definição e propriedades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 de Gauss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Aplicações da Lei de Gauss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Cargas em condutores</w:t>
                  </w:r>
                </w:p>
              </w:tc>
            </w:tr>
          </w:tbl>
          <w:p w:rsidR="00000000" w:rsidDel="00000000" w:rsidP="00000000" w:rsidRDefault="00000000" w:rsidRPr="00000000" w14:paraId="000006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Potencial Elétrico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potencial elétrica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Potencial elétrico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Determinação do potencial elétrico. Superfícies equipotenciais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entre campo elétrico e potencial elétrico</w:t>
                  </w:r>
                </w:p>
              </w:tc>
            </w:tr>
          </w:tbl>
          <w:p w:rsidR="00000000" w:rsidDel="00000000" w:rsidP="00000000" w:rsidRDefault="00000000" w:rsidRPr="00000000" w14:paraId="000006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4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Capacitância e Energia Elétrica. Dielétricos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Capacitância e capacitores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Associação de capacitores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Armazenamento de energia em capacitores. Energia do campo elétrico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Dielétricos. Capacitância num dielétrico. Lei de Gauss em dielétricos</w:t>
                  </w:r>
                </w:p>
              </w:tc>
            </w:tr>
          </w:tbl>
          <w:p w:rsidR="00000000" w:rsidDel="00000000" w:rsidP="00000000" w:rsidRDefault="00000000" w:rsidRPr="00000000" w14:paraId="000006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5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Corrente e resistência elétrica. Força eletromotriz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Corrente elétrica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Resistencia elétrica. Resistividade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eletromotriz e circuitos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e potência em circuitos elétricos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Associação de resistores</w:t>
                  </w:r>
                </w:p>
              </w:tc>
            </w:tr>
          </w:tbl>
          <w:p w:rsidR="00000000" w:rsidDel="00000000" w:rsidP="00000000" w:rsidRDefault="00000000" w:rsidRPr="00000000" w14:paraId="0000066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Circuitos de corrente contínua e Leis de Kirchhoff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Leis de Kirchhoff e circuitos elétricos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Instrumentos de medida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Circuito R-C e aplicações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Energia elétrica no cotidiano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Transformação de energia mecânica em elétrica nas usinas.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hidroelétrica, eólica e nuclear.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Consumo de aparelhos domésticos.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Impactos ambientais das usinas de energia elétrica.</w:t>
                  </w:r>
                </w:p>
              </w:tc>
            </w:tr>
          </w:tbl>
          <w:p w:rsidR="00000000" w:rsidDel="00000000" w:rsidP="00000000" w:rsidRDefault="00000000" w:rsidRPr="00000000" w14:paraId="0000068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A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III: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2 - Eletricidade e Magnetismo, Ótica.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</w:t>
                  </w:r>
                </w:p>
                <w:p w:rsidR="00000000" w:rsidDel="00000000" w:rsidP="00000000" w:rsidRDefault="00000000" w:rsidRPr="00000000" w14:paraId="000006A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3 - Eletromagnetismo.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B8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Curso de Física Básica.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Volume 3 –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3,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6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C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C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428"/>
        <w:gridCol w:w="371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428"/>
            <w:gridCol w:w="371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6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8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Instrumentos de medida e Aquisição de dados. Carga elétrica e campo elétrico. Potencial Elétrico. Capacitância e Energia elétrica. Dielétricos. Corrente e resistência elétrica. Força eletromotriz. Circuitos de corrente contínua. Equilíbrio térmico. Calor e Primeira Lei da Termodinâmica. Entropia e Segunda Lei da Termodinâmica.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Experimental Eletricidade e Termodinâmica A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E04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C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Apresentar aos alunos técnicas experimentais em eletricidade e termodinâmica, incluindo aquisição, tratamento e análise de dados, e consolidar os conceitos aprendidos na teoria.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 permitirá ao aluno a consolidação dos tópicos aprendidos na parte teórica de eletricidade e termodinâmica. Além disso, o aluno aprenderá novas técnicas em física experimental para aquisição, tratamento e análise de dados.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ser definido pelo professor.</w:t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</w:r>
          </w:p>
        </w:tc>
      </w:tr>
      <w:tr>
        <w:tc>
          <w:tcPr>
            <w:gridSpan w:val="12"/>
            <w:tcBorders>
              <w:top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74">
            <w:pPr>
              <w:spacing w:line="3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Instrumentos de medida e Aquisição de dados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Voltímetro, amperímetro e multímetro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Componentes eletrônicos: Matriz de linhas, resistores, capacitores, leds, diodos e fotoresistores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Aquisição de dados com osciloscópios e softwares gráficos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Método dos mínimos quadrados e ajuste não-linear com softwares gráficos</w:t>
                  </w:r>
                </w:p>
              </w:tc>
            </w:tr>
          </w:tbl>
          <w:p w:rsidR="00000000" w:rsidDel="00000000" w:rsidP="00000000" w:rsidRDefault="00000000" w:rsidRPr="00000000" w14:paraId="000008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620.0" w:type="dxa"/>
              <w:jc w:val="left"/>
              <w:tblLayout w:type="fixed"/>
              <w:tblLook w:val="0000"/>
            </w:tblPr>
            <w:tblGrid>
              <w:gridCol w:w="511"/>
              <w:gridCol w:w="4109"/>
              <w:tblGridChange w:id="0">
                <w:tblGrid>
                  <w:gridCol w:w="511"/>
                  <w:gridCol w:w="410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Carga elétrica e campo elétrico. Potencial Elétrico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carga elétrica, campo e potencial elétrico</w:t>
                  </w:r>
                </w:p>
              </w:tc>
            </w:tr>
          </w:tbl>
          <w:p w:rsidR="00000000" w:rsidDel="00000000" w:rsidP="00000000" w:rsidRDefault="00000000" w:rsidRPr="00000000" w14:paraId="000008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Capacitância e Energia Elétrica. Dielétricos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capacitância e energia elétrica</w:t>
                  </w:r>
                </w:p>
              </w:tc>
            </w:tr>
          </w:tbl>
          <w:p w:rsidR="00000000" w:rsidDel="00000000" w:rsidP="00000000" w:rsidRDefault="00000000" w:rsidRPr="00000000" w14:paraId="000008AC">
            <w:pPr>
              <w:spacing w:line="3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4620.0" w:type="dxa"/>
              <w:jc w:val="left"/>
              <w:tblLayout w:type="fixed"/>
              <w:tblLook w:val="0000"/>
            </w:tblPr>
            <w:tblGrid>
              <w:gridCol w:w="511"/>
              <w:gridCol w:w="4109"/>
              <w:tblGridChange w:id="0">
                <w:tblGrid>
                  <w:gridCol w:w="511"/>
                  <w:gridCol w:w="410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Corrente e resistência elétrica. Força eletromotriz. Circuitos de corrente contínua.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Corrente e resistência elétrica. Força eletromotriz. Circuitos de corrente contínua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Equilíbrio térmico. Calor e Primeira Lei da Termodinâmica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temperatura e calor</w:t>
                  </w:r>
                </w:p>
              </w:tc>
            </w:tr>
          </w:tbl>
          <w:p w:rsidR="00000000" w:rsidDel="00000000" w:rsidP="00000000" w:rsidRDefault="00000000" w:rsidRPr="00000000" w14:paraId="000008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4620.0" w:type="dxa"/>
              <w:jc w:val="left"/>
              <w:tblLayout w:type="fixed"/>
              <w:tblLook w:val="0000"/>
            </w:tblPr>
            <w:tblGrid>
              <w:gridCol w:w="511"/>
              <w:gridCol w:w="4109"/>
              <w:tblGridChange w:id="0">
                <w:tblGrid>
                  <w:gridCol w:w="511"/>
                  <w:gridCol w:w="410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C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Entropia e Segunda Lei da Termodinâmica.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entropia e segunda lei da termodinâmica</w:t>
                  </w:r>
                </w:p>
              </w:tc>
            </w:tr>
          </w:tbl>
          <w:p w:rsidR="00000000" w:rsidDel="00000000" w:rsidP="00000000" w:rsidRDefault="00000000" w:rsidRPr="00000000" w14:paraId="000008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E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R. RESNICK, D. HALIDAY,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Volume II, 6ª Edição, Livros Técnicos Científicos, 1996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Cristiane R. C. Tavolaro e Marisa Almeida Cavalcante,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Experimental,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Editora Manole.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José Goldemberg,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Geral e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Companhia Editora Nacional, São Paulo.</w:t>
                  </w:r>
                </w:p>
              </w:tc>
            </w:tr>
          </w:tbl>
          <w:p w:rsidR="00000000" w:rsidDel="00000000" w:rsidP="00000000" w:rsidRDefault="00000000" w:rsidRPr="00000000" w14:paraId="000008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4620.0" w:type="dxa"/>
              <w:jc w:val="left"/>
              <w:tblLayout w:type="fixed"/>
              <w:tblLook w:val="0000"/>
            </w:tblPr>
            <w:tblGrid>
              <w:gridCol w:w="445"/>
              <w:gridCol w:w="4175"/>
              <w:tblGridChange w:id="0">
                <w:tblGrid>
                  <w:gridCol w:w="445"/>
                  <w:gridCol w:w="417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F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F. Sears, M. W. Zemansky.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–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Vol. 2. 10. Ed. Addison Wesley,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P. A., Tipler, G. Mosca,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Vol. 2, 5. Ed. Rio De Janeiro: LTC,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H. M. Nussenzveig,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 - vol. 2 - Fluidos, Oscilações e Ondas, Calor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Ed. Blucher, 2014.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H. M. Nussenzveig,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- vol. 3. Ed. Blucher, 2014.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9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90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1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91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9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9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contextualização das leis educacionais nos processos históricos, políticos e sociais – e a aplicabilidade na Educação Básica, refletindo sobre Lei 9394/96 LDBEN na escola e sobre a formação do educador a partir dos dispositivos legais. Ética e os PCN.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Legislação Educacional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P04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4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B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Geral: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Oportunizar ao estudante a compreensão e noção de sistemas legais, discorrendo criticamente acerca de sua aplicabilidade no contexto escolar e, em outros ambientes educativos.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Específicos: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Compreensão do processo histórico/filosófico/político e social da educação brasileira e suas concepções teóricas;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Análise crítica-reflexiva da Constituição Federal de 1988, no que concerne a educação, pontuando as dicotomias existentes entre a realidade educacional e o pressuposto legal;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Interpretação da LDBEN 9394/96 e demais normas legais referentes a educação;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Compreensão das Diretrizes Curriculares para a Educação e sua aplicabilidade no contexto escolar;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Reconhecer-se como profissional da educação, pesquisador e conhecedor da estrutura e funcionamento da Educação Nacional;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2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Compreensão e aplicabilidade no contexto sócio-político educacional a Legislação da Infância e Juventude.</w:t>
                  </w:r>
                </w:p>
              </w:tc>
            </w:tr>
          </w:tbl>
          <w:p w:rsidR="00000000" w:rsidDel="00000000" w:rsidP="00000000" w:rsidRDefault="00000000" w:rsidRPr="00000000" w14:paraId="00000A2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Fornecer aos alunos noções de legislação educacional.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Aulas expositivas e dialogadas; construção conjunta entre professor e estudante; trabalhos individuais e em grupo, pesquisa bibliográfica e de campo, entrevistas e seminários.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8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Compõe-se de diagnóstico, tanto por parte do professor quanto do estudante, para verificação do alcance das proposições, numa relação dialógica, aliando teoria e prática nos diferentes contextos, com propósito de desenvolvimento de habilidades e competências. A avaliação será realizada levando em consideração os seguintes critérios: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Participação efetiva em todas as atividades propostas;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Realização dos seminários;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Bom desempenho nas atividades individuais e de grupo;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Realização das atividades de pesquisa atendendo exigências.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A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bottom w:color="80808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5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B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BRASIL, Ministério da Educação.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LDBEN nº. 9.394/96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– Lei de Diretrizes e Bases da Educação Nacional. Brasil. 1996.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MENESES, João Gualberto de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Estrutura e Funcionamento da Educação Básica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SP: Pioneira Thomson, 2011.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3">
                  <w:pPr>
                    <w:jc w:val="both"/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CARNEIRO, Moaci Alves.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LDB fácil: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leitura crítico compreensiva, artigo a artigo. 17. ed. Atualizada. Petrópolis. Rio de Janeiro: Vozes, 2010.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C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BRZESZINSKI, Íria. (Org.).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LDB Dez anos depois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: reinterpretação sob diversos olhares. São Paulo: Cortez, 2008.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DEMO, Pedro.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 Nova LDB: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ranços e avanços. São Paulo; Papirus.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LIBÂNEO, José Carlos.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Educação Escolar: Políticas, Estrutura e Organização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SP: Cortez, 2007.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 Nova Lei de educação: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trajetória, limites e perspectivas. 2 Ed. São Paulo, 1997 – Coleção Educação Contemporânea.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59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OLIVEIRA, Elias.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Direito Educacional e Educação no Século XXI.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Comentários a nova lei de Diretrizes e bases da Educação Nacional. Brasília: UNESCO, 2007.</w:t>
                  </w:r>
                </w:p>
              </w:tc>
            </w:tr>
          </w:tbl>
          <w:p w:rsidR="00000000" w:rsidDel="00000000" w:rsidP="00000000" w:rsidRDefault="00000000" w:rsidRPr="00000000" w14:paraId="00000A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D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DIMENSTEIM, Gilberto.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Cidadão de Papel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SP: Ática, 2004.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BRASIL, SEDUC DO ESTADO DE RONDÔNIA.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Diretrizes Curriculares para o Estado de Rondônia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LEGISLAÇÃO 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A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Constituição Federal do Brasil de 1988, atualizada. Artigos que tratam da educação.</w:t>
                  </w:r>
                </w:p>
                <w:p w:rsidR="00000000" w:rsidDel="00000000" w:rsidP="00000000" w:rsidRDefault="00000000" w:rsidRPr="00000000" w14:paraId="00000A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Lei nº 9.131/95. Dispõe sobre o Conselho Nacional de Educação.</w:t>
                  </w:r>
                </w:p>
                <w:p w:rsidR="00000000" w:rsidDel="00000000" w:rsidP="00000000" w:rsidRDefault="00000000" w:rsidRPr="00000000" w14:paraId="00000A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Lei nº 9.394/96. Lei das Diretrizes e Bases da Educação Nacional.</w:t>
                  </w:r>
                </w:p>
                <w:p w:rsidR="00000000" w:rsidDel="00000000" w:rsidP="00000000" w:rsidRDefault="00000000" w:rsidRPr="00000000" w14:paraId="00000A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Lei nº 10.172/01. Plano Nacional de Educação.</w:t>
                  </w:r>
                </w:p>
                <w:p w:rsidR="00000000" w:rsidDel="00000000" w:rsidP="00000000" w:rsidRDefault="00000000" w:rsidRPr="00000000" w14:paraId="00000A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Projeto de Lei do Plano Nacional de Educação 2011-2020 e Emendas apresentadas.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Ética e cidadania: construindo valores na escola e na sociedade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/ Secretaria de Educação Básica, Fundo Nacional de Desenvolvimento da Educação. – Brasília: Ministério da Educação, Secretaria de Educação Básica, 2007. Disponível em: </w:t>
                  </w:r>
                  <w:hyperlink r:id="rId24">
                    <w:r w:rsidDel="00000000" w:rsidR="00000000" w:rsidRPr="00000000">
                      <w:rPr>
                        <w:rFonts w:ascii="Verdana" w:cs="Verdana" w:eastAsia="Verdana" w:hAnsi="Verdana"/>
                        <w:color w:val="000000"/>
                        <w:sz w:val="18"/>
                        <w:szCs w:val="18"/>
                        <w:u w:val="single"/>
                        <w:rtl w:val="0"/>
                      </w:rPr>
                      <w:t xml:space="preserve">http://portal.mec.gov.br/seb/arquivos/pdf/Etica/liv_etic_cidad.pdf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AE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7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E – DISCIPLINAS DO 5º SEMESTRE</w:t>
    </w:r>
  </w:p>
  <w:p w:rsidR="00000000" w:rsidDel="00000000" w:rsidP="00000000" w:rsidRDefault="00000000" w:rsidRPr="00000000" w14:paraId="00000A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2.png"/><Relationship Id="rId21" Type="http://schemas.openxmlformats.org/officeDocument/2006/relationships/image" Target="media/image13.png"/><Relationship Id="rId24" Type="http://schemas.openxmlformats.org/officeDocument/2006/relationships/hyperlink" Target="http://portal.mec.gov.br/seb/arquivos/pdf/Etica/liv_etic_cidad.pdf" TargetMode="External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7.png"/><Relationship Id="rId8" Type="http://schemas.openxmlformats.org/officeDocument/2006/relationships/image" Target="media/image5.png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11.png"/><Relationship Id="rId12" Type="http://schemas.openxmlformats.org/officeDocument/2006/relationships/image" Target="media/image15.png"/><Relationship Id="rId15" Type="http://schemas.openxmlformats.org/officeDocument/2006/relationships/image" Target="media/image16.png"/><Relationship Id="rId14" Type="http://schemas.openxmlformats.org/officeDocument/2006/relationships/image" Target="media/image8.png"/><Relationship Id="rId17" Type="http://schemas.openxmlformats.org/officeDocument/2006/relationships/image" Target="media/image6.png"/><Relationship Id="rId16" Type="http://schemas.openxmlformats.org/officeDocument/2006/relationships/image" Target="media/image14.png"/><Relationship Id="rId19" Type="http://schemas.openxmlformats.org/officeDocument/2006/relationships/image" Target="media/image9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